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D31EE" w14:textId="6F2C2573" w:rsidR="008C1708" w:rsidRPr="00640904" w:rsidRDefault="008C1708" w:rsidP="008C1708">
      <w:pPr>
        <w:autoSpaceDE w:val="0"/>
        <w:autoSpaceDN w:val="0"/>
        <w:adjustRightInd w:val="0"/>
        <w:snapToGrid w:val="0"/>
        <w:jc w:val="both"/>
        <w:rPr>
          <w:rFonts w:ascii="Arial" w:eastAsia="標楷體" w:hAnsi="Arial"/>
          <w:b/>
          <w:color w:val="000000"/>
          <w:sz w:val="20"/>
          <w:szCs w:val="20"/>
        </w:rPr>
      </w:pPr>
      <w:r w:rsidRPr="00640904">
        <w:rPr>
          <w:rFonts w:ascii="Arial" w:eastAsia="標楷體" w:hAnsi="Arial"/>
          <w:b/>
          <w:color w:val="000000"/>
          <w:sz w:val="20"/>
          <w:szCs w:val="20"/>
        </w:rPr>
        <w:t>【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 xml:space="preserve">TSIA 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>新聞稿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 xml:space="preserve"> </w:t>
      </w:r>
      <w:r w:rsidR="00532469">
        <w:rPr>
          <w:rFonts w:ascii="Arial" w:eastAsia="標楷體" w:hAnsi="Arial" w:hint="eastAsia"/>
          <w:b/>
          <w:color w:val="000000"/>
          <w:sz w:val="20"/>
          <w:szCs w:val="20"/>
        </w:rPr>
        <w:t>114.</w:t>
      </w:r>
      <w:r w:rsidR="00246A0D">
        <w:rPr>
          <w:rFonts w:ascii="Arial" w:eastAsia="標楷體" w:hAnsi="Arial" w:hint="eastAsia"/>
          <w:b/>
          <w:color w:val="000000"/>
          <w:sz w:val="20"/>
          <w:szCs w:val="20"/>
        </w:rPr>
        <w:t>10.</w:t>
      </w:r>
      <w:r w:rsidR="00F9738D">
        <w:rPr>
          <w:rFonts w:ascii="Arial" w:eastAsia="標楷體" w:hAnsi="Arial" w:hint="eastAsia"/>
          <w:b/>
          <w:color w:val="000000"/>
          <w:sz w:val="20"/>
          <w:szCs w:val="20"/>
        </w:rPr>
        <w:t>13</w:t>
      </w:r>
      <w:r w:rsidRPr="00640904">
        <w:rPr>
          <w:rFonts w:ascii="Arial" w:eastAsia="標楷體" w:hAnsi="Arial"/>
          <w:b/>
          <w:color w:val="000000"/>
          <w:sz w:val="20"/>
          <w:szCs w:val="20"/>
        </w:rPr>
        <w:t>】</w:t>
      </w:r>
    </w:p>
    <w:p w14:paraId="437134D4" w14:textId="77777777" w:rsidR="008C1708" w:rsidRPr="00640904" w:rsidRDefault="008C1708" w:rsidP="008C1708">
      <w:pPr>
        <w:autoSpaceDE w:val="0"/>
        <w:autoSpaceDN w:val="0"/>
        <w:adjustRightInd w:val="0"/>
        <w:snapToGrid w:val="0"/>
        <w:jc w:val="both"/>
        <w:rPr>
          <w:rFonts w:ascii="Arial" w:eastAsia="標楷體" w:hAnsi="Arial"/>
          <w:b/>
          <w:color w:val="000000"/>
        </w:rPr>
      </w:pPr>
    </w:p>
    <w:p w14:paraId="50A4B8C8" w14:textId="6CBE597D" w:rsidR="00246A0D" w:rsidRDefault="00287911" w:rsidP="00D343B6">
      <w:pPr>
        <w:widowControl/>
        <w:autoSpaceDE w:val="0"/>
        <w:autoSpaceDN w:val="0"/>
        <w:adjustRightInd w:val="0"/>
        <w:snapToGrid w:val="0"/>
        <w:spacing w:before="240" w:line="440" w:lineRule="exact"/>
        <w:ind w:leftChars="-5" w:left="1" w:hangingChars="4" w:hanging="13"/>
        <w:jc w:val="center"/>
        <w:textAlignment w:val="bottom"/>
        <w:rPr>
          <w:rFonts w:ascii="Arial" w:eastAsia="標楷體" w:hAnsi="Arial"/>
          <w:b/>
          <w:bCs/>
          <w:sz w:val="32"/>
          <w:szCs w:val="32"/>
        </w:rPr>
      </w:pPr>
      <w:bookmarkStart w:id="0" w:name="_Hlk146424209"/>
      <w:r w:rsidRPr="00D343B6">
        <w:rPr>
          <w:rFonts w:ascii="Arial" w:eastAsia="標楷體" w:hAnsi="Arial" w:hint="eastAsia"/>
          <w:b/>
          <w:bCs/>
          <w:color w:val="FF0000"/>
          <w:sz w:val="32"/>
          <w:szCs w:val="32"/>
        </w:rPr>
        <w:t>對能源轉型過程</w:t>
      </w:r>
      <w:r w:rsidR="004722A2">
        <w:rPr>
          <w:rFonts w:ascii="Arial" w:eastAsia="標楷體" w:hAnsi="Arial" w:hint="eastAsia"/>
          <w:b/>
          <w:bCs/>
          <w:color w:val="FF0000"/>
          <w:sz w:val="32"/>
          <w:szCs w:val="32"/>
        </w:rPr>
        <w:t>中</w:t>
      </w:r>
      <w:r w:rsidRPr="00D343B6">
        <w:rPr>
          <w:rFonts w:ascii="Arial" w:eastAsia="標楷體" w:hAnsi="Arial" w:hint="eastAsia"/>
          <w:b/>
          <w:bCs/>
          <w:color w:val="FF0000"/>
          <w:sz w:val="32"/>
          <w:szCs w:val="32"/>
        </w:rPr>
        <w:t>產業面臨的困境與挑戰，</w:t>
      </w:r>
      <w:r w:rsidR="004722A2">
        <w:rPr>
          <w:rFonts w:ascii="Arial" w:eastAsia="標楷體" w:hAnsi="Arial" w:hint="eastAsia"/>
          <w:b/>
          <w:bCs/>
          <w:color w:val="FF0000"/>
          <w:sz w:val="32"/>
          <w:szCs w:val="32"/>
        </w:rPr>
        <w:t>TSIA</w:t>
      </w:r>
      <w:r w:rsidRPr="00D343B6">
        <w:rPr>
          <w:rFonts w:ascii="Arial" w:eastAsia="標楷體" w:hAnsi="Arial" w:hint="eastAsia"/>
          <w:b/>
          <w:bCs/>
          <w:color w:val="FF0000"/>
          <w:sz w:val="32"/>
          <w:szCs w:val="32"/>
        </w:rPr>
        <w:t>提出政策建議</w:t>
      </w:r>
      <w:bookmarkEnd w:id="0"/>
    </w:p>
    <w:p w14:paraId="0A91F49B" w14:textId="70C5002D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240" w:line="440" w:lineRule="exact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因應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國際淨零趨勢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及供應鏈對低碳能源的需求，半導體及電子產業高度仰賴穩定且潔淨的電力供應</w:t>
      </w:r>
      <w:r w:rsidR="0067576A">
        <w:rPr>
          <w:rFonts w:ascii="Arial" w:eastAsia="標楷體" w:hAnsi="Arial" w:hint="eastAsia"/>
          <w:sz w:val="28"/>
          <w:szCs w:val="28"/>
        </w:rPr>
        <w:t>，</w:t>
      </w:r>
      <w:r w:rsidRPr="00640904">
        <w:rPr>
          <w:rFonts w:ascii="Arial" w:eastAsia="標楷體" w:hAnsi="Arial" w:hint="eastAsia"/>
          <w:sz w:val="28"/>
          <w:szCs w:val="28"/>
        </w:rPr>
        <w:t>然而，</w:t>
      </w:r>
      <w:r w:rsidR="00287911">
        <w:rPr>
          <w:rFonts w:ascii="Arial" w:eastAsia="標楷體" w:hAnsi="Arial" w:hint="eastAsia"/>
          <w:sz w:val="28"/>
          <w:szCs w:val="28"/>
        </w:rPr>
        <w:t>依據我國目前的能源</w:t>
      </w:r>
      <w:r w:rsidRPr="00640904">
        <w:rPr>
          <w:rFonts w:ascii="Arial" w:eastAsia="標楷體" w:hAnsi="Arial" w:hint="eastAsia"/>
          <w:sz w:val="28"/>
          <w:szCs w:val="28"/>
        </w:rPr>
        <w:t>政策路徑，已出現</w:t>
      </w:r>
      <w:r w:rsidR="00287911">
        <w:rPr>
          <w:rFonts w:ascii="Arial" w:eastAsia="標楷體" w:hAnsi="Arial" w:hint="eastAsia"/>
          <w:sz w:val="28"/>
          <w:szCs w:val="28"/>
        </w:rPr>
        <w:t>諸多</w:t>
      </w:r>
      <w:r w:rsidRPr="00640904">
        <w:rPr>
          <w:rFonts w:ascii="Arial" w:eastAsia="標楷體" w:hAnsi="Arial" w:hint="eastAsia"/>
          <w:sz w:val="28"/>
          <w:szCs w:val="28"/>
        </w:rPr>
        <w:t>問題，直接衝擊產業國際競爭力。本會針對我國能源轉型過程中產業所面臨的</w:t>
      </w:r>
      <w:r w:rsidR="00532469">
        <w:rPr>
          <w:rFonts w:ascii="Arial" w:eastAsia="標楷體" w:hAnsi="Arial" w:hint="eastAsia"/>
          <w:sz w:val="28"/>
          <w:szCs w:val="28"/>
        </w:rPr>
        <w:t>困境與</w:t>
      </w:r>
      <w:r w:rsidRPr="00640904">
        <w:rPr>
          <w:rFonts w:ascii="Arial" w:eastAsia="標楷體" w:hAnsi="Arial" w:hint="eastAsia"/>
          <w:sz w:val="28"/>
          <w:szCs w:val="28"/>
        </w:rPr>
        <w:t>挑戰，提出</w:t>
      </w:r>
      <w:r w:rsidR="00287911">
        <w:rPr>
          <w:rFonts w:ascii="Arial" w:eastAsia="標楷體" w:hAnsi="Arial" w:hint="eastAsia"/>
          <w:sz w:val="28"/>
          <w:szCs w:val="28"/>
        </w:rPr>
        <w:t>如下</w:t>
      </w:r>
      <w:r w:rsidRPr="00640904">
        <w:rPr>
          <w:rFonts w:ascii="Arial" w:eastAsia="標楷體" w:hAnsi="Arial" w:hint="eastAsia"/>
          <w:sz w:val="28"/>
          <w:szCs w:val="28"/>
        </w:rPr>
        <w:t>建議</w:t>
      </w:r>
      <w:r w:rsidR="00287911">
        <w:rPr>
          <w:rFonts w:ascii="Arial" w:eastAsia="標楷體" w:hAnsi="Arial" w:hint="eastAsia"/>
          <w:sz w:val="28"/>
          <w:szCs w:val="28"/>
        </w:rPr>
        <w:t>：</w:t>
      </w:r>
    </w:p>
    <w:p w14:paraId="67A3CC5C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240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1.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提高供電穩定性：</w:t>
      </w:r>
    </w:p>
    <w:p w14:paraId="11E3D60B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(1)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推動高用電區域之「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電廠直供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」。</w:t>
      </w:r>
    </w:p>
    <w:p w14:paraId="6C9717B2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(2)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全面導入智慧電網，應用</w:t>
      </w:r>
      <w:r w:rsidRPr="00640904">
        <w:rPr>
          <w:rFonts w:ascii="Arial" w:eastAsia="標楷體" w:hAnsi="Arial" w:hint="eastAsia"/>
          <w:sz w:val="28"/>
          <w:szCs w:val="28"/>
        </w:rPr>
        <w:t xml:space="preserve"> AI</w:t>
      </w:r>
      <w:r w:rsidRPr="00640904">
        <w:rPr>
          <w:rFonts w:ascii="Arial" w:eastAsia="標楷體" w:hAnsi="Arial" w:hint="eastAsia"/>
          <w:sz w:val="28"/>
          <w:szCs w:val="28"/>
        </w:rPr>
        <w:t>與感測器進行即時監控與預測性調度。</w:t>
      </w:r>
    </w:p>
    <w:p w14:paraId="7B74EE3D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(3)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制定國家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級儲能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指引，並於科學園區及產業聚落建置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大型儲能系統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，形成區域微電網。</w:t>
      </w:r>
    </w:p>
    <w:p w14:paraId="4FE48DA0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(4)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建立透明績效指標，公開電力異常件數與改善進度。</w:t>
      </w:r>
    </w:p>
    <w:p w14:paraId="0E1A0985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(5)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重新盤點抽蓄水力潛能以提供中長期支撐。</w:t>
      </w:r>
    </w:p>
    <w:p w14:paraId="17EBF75B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240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2.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強化低碳能源供給：</w:t>
      </w:r>
    </w:p>
    <w:p w14:paraId="527D0ED6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(1)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釋出閒置土地資源，優先建置國有光電案場。</w:t>
      </w:r>
    </w:p>
    <w:p w14:paraId="22AF0B19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(2)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建立一致且透明的審查架構，提升投資可預期性。</w:t>
      </w:r>
    </w:p>
    <w:p w14:paraId="30499261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(3)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成立行政院級專案辦公室，統合跨部會協作。</w:t>
      </w:r>
    </w:p>
    <w:p w14:paraId="118153FB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(4)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推動多元低碳能源方案。</w:t>
      </w:r>
    </w:p>
    <w:p w14:paraId="297F7543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(5)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公告每</w:t>
      </w:r>
      <w:r w:rsidRPr="00640904">
        <w:rPr>
          <w:rFonts w:ascii="Arial" w:eastAsia="標楷體" w:hAnsi="Arial" w:hint="eastAsia"/>
          <w:sz w:val="28"/>
          <w:szCs w:val="28"/>
        </w:rPr>
        <w:t xml:space="preserve"> 10</w:t>
      </w:r>
      <w:r w:rsidRPr="00640904">
        <w:rPr>
          <w:rFonts w:ascii="Arial" w:eastAsia="標楷體" w:hAnsi="Arial" w:hint="eastAsia"/>
          <w:sz w:val="28"/>
          <w:szCs w:val="28"/>
        </w:rPr>
        <w:t>年期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電力排碳係數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預測。</w:t>
      </w:r>
    </w:p>
    <w:p w14:paraId="19C26435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(6)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加速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碳捕存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設施導入，確保於</w:t>
      </w:r>
      <w:r w:rsidRPr="00640904">
        <w:rPr>
          <w:rFonts w:ascii="Arial" w:eastAsia="標楷體" w:hAnsi="Arial" w:hint="eastAsia"/>
          <w:sz w:val="28"/>
          <w:szCs w:val="28"/>
        </w:rPr>
        <w:t xml:space="preserve"> 2035</w:t>
      </w:r>
      <w:r w:rsidRPr="00640904">
        <w:rPr>
          <w:rFonts w:ascii="Arial" w:eastAsia="標楷體" w:hAnsi="Arial" w:hint="eastAsia"/>
          <w:sz w:val="28"/>
          <w:szCs w:val="28"/>
        </w:rPr>
        <w:t>年前全面實施。</w:t>
      </w:r>
    </w:p>
    <w:p w14:paraId="518B0910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(7)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針對高電價用戶提供專屬低碳電力結構。</w:t>
      </w:r>
    </w:p>
    <w:p w14:paraId="5DE79369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240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3.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檢討綠能法規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不合理限制：</w:t>
      </w:r>
    </w:p>
    <w:p w14:paraId="180F12DE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(1)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允許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餘電「電證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分離」。</w:t>
      </w:r>
    </w:p>
    <w:p w14:paraId="15537B75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(2)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維持既有時間區段結算方式，避免</w:t>
      </w:r>
      <w:r w:rsidRPr="00640904">
        <w:rPr>
          <w:rFonts w:ascii="Arial" w:eastAsia="標楷體" w:hAnsi="Arial" w:hint="eastAsia"/>
          <w:sz w:val="28"/>
          <w:szCs w:val="28"/>
        </w:rPr>
        <w:t>15</w:t>
      </w:r>
      <w:r w:rsidRPr="00640904">
        <w:rPr>
          <w:rFonts w:ascii="Arial" w:eastAsia="標楷體" w:hAnsi="Arial" w:hint="eastAsia"/>
          <w:sz w:val="28"/>
          <w:szCs w:val="28"/>
        </w:rPr>
        <w:t>分鐘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即時媒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合造成更嚴重的餘電問題。</w:t>
      </w:r>
    </w:p>
    <w:p w14:paraId="3EB402CF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(3)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允許電證分離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讓企業更有彈性達成中長期碳管理目標。</w:t>
      </w:r>
    </w:p>
    <w:p w14:paraId="1ADC87BB" w14:textId="77777777" w:rsidR="00640904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100" w:beforeAutospacing="1"/>
        <w:ind w:leftChars="310" w:left="1363" w:hangingChars="221" w:hanging="619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t>(4)</w:t>
      </w:r>
      <w:r w:rsidRPr="00640904">
        <w:rPr>
          <w:rFonts w:ascii="Arial" w:eastAsia="標楷體" w:hAnsi="Arial" w:hint="eastAsia"/>
          <w:sz w:val="28"/>
          <w:szCs w:val="28"/>
        </w:rPr>
        <w:tab/>
      </w:r>
      <w:r w:rsidRPr="00640904">
        <w:rPr>
          <w:rFonts w:ascii="Arial" w:eastAsia="標楷體" w:hAnsi="Arial" w:hint="eastAsia"/>
          <w:sz w:val="28"/>
          <w:szCs w:val="28"/>
        </w:rPr>
        <w:t>不應無預警調漲或取消轉供優惠。</w:t>
      </w:r>
    </w:p>
    <w:p w14:paraId="161F8606" w14:textId="4F0AEA22" w:rsidR="00D24D66" w:rsidRPr="00640904" w:rsidRDefault="00640904" w:rsidP="00640904">
      <w:pPr>
        <w:widowControl/>
        <w:autoSpaceDE w:val="0"/>
        <w:autoSpaceDN w:val="0"/>
        <w:adjustRightInd w:val="0"/>
        <w:snapToGrid w:val="0"/>
        <w:spacing w:before="240" w:line="440" w:lineRule="exact"/>
        <w:ind w:firstLineChars="210" w:firstLine="588"/>
        <w:jc w:val="both"/>
        <w:textAlignment w:val="bottom"/>
        <w:rPr>
          <w:rFonts w:ascii="Arial" w:eastAsia="標楷體" w:hAnsi="Arial"/>
          <w:sz w:val="28"/>
          <w:szCs w:val="28"/>
        </w:rPr>
      </w:pPr>
      <w:r w:rsidRPr="00640904">
        <w:rPr>
          <w:rFonts w:ascii="Arial" w:eastAsia="標楷體" w:hAnsi="Arial" w:hint="eastAsia"/>
          <w:sz w:val="28"/>
          <w:szCs w:val="28"/>
        </w:rPr>
        <w:lastRenderedPageBreak/>
        <w:t>籲請</w:t>
      </w:r>
      <w:r w:rsidR="0067576A">
        <w:rPr>
          <w:rFonts w:ascii="Arial" w:eastAsia="標楷體" w:hAnsi="Arial" w:hint="eastAsia"/>
          <w:sz w:val="28"/>
          <w:szCs w:val="28"/>
        </w:rPr>
        <w:t>府院</w:t>
      </w:r>
      <w:r w:rsidRPr="00640904">
        <w:rPr>
          <w:rFonts w:ascii="Arial" w:eastAsia="標楷體" w:hAnsi="Arial" w:hint="eastAsia"/>
          <w:sz w:val="28"/>
          <w:szCs w:val="28"/>
        </w:rPr>
        <w:t>及相關</w:t>
      </w:r>
      <w:r w:rsidR="002A52CC">
        <w:rPr>
          <w:rFonts w:ascii="Arial" w:eastAsia="標楷體" w:hAnsi="Arial" w:hint="eastAsia"/>
          <w:sz w:val="28"/>
          <w:szCs w:val="28"/>
        </w:rPr>
        <w:t>部會，參酌</w:t>
      </w:r>
      <w:r w:rsidRPr="00640904">
        <w:rPr>
          <w:rFonts w:ascii="Arial" w:eastAsia="標楷體" w:hAnsi="Arial" w:hint="eastAsia"/>
          <w:sz w:val="28"/>
          <w:szCs w:val="28"/>
        </w:rPr>
        <w:t>本</w:t>
      </w:r>
      <w:r w:rsidR="00287911">
        <w:rPr>
          <w:rFonts w:ascii="Arial" w:eastAsia="標楷體" w:hAnsi="Arial" w:hint="eastAsia"/>
          <w:sz w:val="28"/>
          <w:szCs w:val="28"/>
        </w:rPr>
        <w:t>會</w:t>
      </w:r>
      <w:r w:rsidRPr="00640904">
        <w:rPr>
          <w:rFonts w:ascii="Arial" w:eastAsia="標楷體" w:hAnsi="Arial" w:hint="eastAsia"/>
          <w:sz w:val="28"/>
          <w:szCs w:val="28"/>
        </w:rPr>
        <w:t>之建議，兼顧基礎建設強化與法規制度改革</w:t>
      </w:r>
      <w:r w:rsidR="00532469" w:rsidRPr="00532469">
        <w:rPr>
          <w:rFonts w:ascii="Arial" w:eastAsia="標楷體" w:hAnsi="Arial" w:hint="eastAsia"/>
          <w:sz w:val="28"/>
          <w:szCs w:val="28"/>
        </w:rPr>
        <w:t>，以長遠視野和務實作法推動能源轉型</w:t>
      </w:r>
      <w:r w:rsidRPr="00640904">
        <w:rPr>
          <w:rFonts w:ascii="Arial" w:eastAsia="標楷體" w:hAnsi="Arial" w:hint="eastAsia"/>
          <w:sz w:val="28"/>
          <w:szCs w:val="28"/>
        </w:rPr>
        <w:t>，確保</w:t>
      </w:r>
      <w:r w:rsidR="00532469">
        <w:rPr>
          <w:rFonts w:ascii="Arial" w:eastAsia="標楷體" w:hAnsi="Arial" w:hint="eastAsia"/>
          <w:sz w:val="28"/>
          <w:szCs w:val="28"/>
        </w:rPr>
        <w:t>產業</w:t>
      </w:r>
      <w:r w:rsidRPr="00640904">
        <w:rPr>
          <w:rFonts w:ascii="Arial" w:eastAsia="標楷體" w:hAnsi="Arial" w:hint="eastAsia"/>
          <w:sz w:val="28"/>
          <w:szCs w:val="28"/>
        </w:rPr>
        <w:t>之</w:t>
      </w:r>
      <w:r w:rsidR="00B431DD">
        <w:rPr>
          <w:rFonts w:ascii="Arial" w:eastAsia="標楷體" w:hAnsi="Arial" w:hint="eastAsia"/>
          <w:sz w:val="28"/>
          <w:szCs w:val="28"/>
        </w:rPr>
        <w:t>國際</w:t>
      </w:r>
      <w:r w:rsidRPr="00640904">
        <w:rPr>
          <w:rFonts w:ascii="Arial" w:eastAsia="標楷體" w:hAnsi="Arial" w:hint="eastAsia"/>
          <w:sz w:val="28"/>
          <w:szCs w:val="28"/>
        </w:rPr>
        <w:t>競爭力，邁向</w:t>
      </w:r>
      <w:proofErr w:type="gramStart"/>
      <w:r w:rsidRPr="00640904">
        <w:rPr>
          <w:rFonts w:ascii="Arial" w:eastAsia="標楷體" w:hAnsi="Arial" w:hint="eastAsia"/>
          <w:sz w:val="28"/>
          <w:szCs w:val="28"/>
        </w:rPr>
        <w:t>低碳永續</w:t>
      </w:r>
      <w:proofErr w:type="gramEnd"/>
      <w:r w:rsidRPr="00640904">
        <w:rPr>
          <w:rFonts w:ascii="Arial" w:eastAsia="標楷體" w:hAnsi="Arial" w:hint="eastAsia"/>
          <w:sz w:val="28"/>
          <w:szCs w:val="28"/>
        </w:rPr>
        <w:t>的未來。</w:t>
      </w:r>
    </w:p>
    <w:p w14:paraId="0A601EED" w14:textId="27E69836" w:rsidR="008C1708" w:rsidRDefault="008C1708" w:rsidP="008C1708">
      <w:pPr>
        <w:adjustRightInd w:val="0"/>
        <w:snapToGrid w:val="0"/>
        <w:ind w:firstLineChars="184" w:firstLine="515"/>
        <w:rPr>
          <w:rFonts w:ascii="Arial" w:eastAsia="標楷體" w:hAnsi="Arial"/>
          <w:sz w:val="28"/>
          <w:szCs w:val="28"/>
        </w:rPr>
      </w:pPr>
    </w:p>
    <w:p w14:paraId="546A23E9" w14:textId="77777777" w:rsidR="00532469" w:rsidRPr="00532469" w:rsidRDefault="00532469" w:rsidP="008C1708">
      <w:pPr>
        <w:adjustRightInd w:val="0"/>
        <w:snapToGrid w:val="0"/>
        <w:ind w:firstLineChars="184" w:firstLine="515"/>
        <w:rPr>
          <w:rFonts w:ascii="Arial" w:eastAsia="標楷體" w:hAnsi="Arial"/>
          <w:sz w:val="28"/>
          <w:szCs w:val="28"/>
        </w:rPr>
      </w:pPr>
    </w:p>
    <w:p w14:paraId="248F2359" w14:textId="77777777" w:rsidR="008C1708" w:rsidRPr="00F9738D" w:rsidRDefault="008C1708" w:rsidP="008C1708">
      <w:pPr>
        <w:pStyle w:val="Web"/>
        <w:adjustRightInd w:val="0"/>
        <w:snapToGrid w:val="0"/>
        <w:spacing w:before="0" w:beforeAutospacing="0" w:after="0" w:afterAutospacing="0"/>
        <w:ind w:leftChars="-86" w:left="-206" w:rightChars="170" w:right="408" w:firstLine="204"/>
        <w:jc w:val="both"/>
        <w:rPr>
          <w:rFonts w:ascii="Arial" w:eastAsia="標楷體" w:hAnsi="Arial" w:cs="Times New Roman"/>
          <w:b/>
          <w:sz w:val="28"/>
          <w:szCs w:val="28"/>
          <w:lang w:eastAsia="zh-TW"/>
        </w:rPr>
      </w:pP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關於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TSIA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>：</w:t>
      </w:r>
      <w:r w:rsidRPr="00F9738D">
        <w:rPr>
          <w:rFonts w:ascii="Arial" w:eastAsia="標楷體" w:hAnsi="Arial" w:cs="Times New Roman"/>
          <w:b/>
          <w:sz w:val="28"/>
          <w:szCs w:val="28"/>
          <w:lang w:eastAsia="zh-TW"/>
        </w:rPr>
        <w:t xml:space="preserve"> </w:t>
      </w:r>
    </w:p>
    <w:p w14:paraId="224BC67F" w14:textId="1550F892" w:rsidR="008C1708" w:rsidRPr="00F9738D" w:rsidRDefault="008C1708" w:rsidP="00532469">
      <w:pPr>
        <w:adjustRightInd w:val="0"/>
        <w:snapToGrid w:val="0"/>
        <w:jc w:val="both"/>
        <w:rPr>
          <w:rFonts w:ascii="Arial" w:eastAsia="標楷體" w:hAnsi="Arial"/>
          <w:b/>
          <w:bCs/>
          <w:color w:val="000000"/>
          <w:sz w:val="28"/>
          <w:szCs w:val="28"/>
        </w:rPr>
      </w:pPr>
      <w:r w:rsidRPr="00F9738D">
        <w:rPr>
          <w:rFonts w:ascii="Arial" w:eastAsia="標楷體" w:hAnsi="Arial"/>
          <w:color w:val="000000"/>
          <w:sz w:val="28"/>
          <w:szCs w:val="28"/>
        </w:rPr>
        <w:t>台灣半導體產業協會成立於</w:t>
      </w:r>
      <w:r w:rsidRPr="00F9738D">
        <w:rPr>
          <w:rFonts w:ascii="Arial" w:eastAsia="標楷體" w:hAnsi="Arial"/>
          <w:color w:val="000000"/>
          <w:sz w:val="28"/>
          <w:szCs w:val="28"/>
        </w:rPr>
        <w:t>1996</w:t>
      </w:r>
      <w:r w:rsidRPr="00F9738D">
        <w:rPr>
          <w:rFonts w:ascii="Arial" w:eastAsia="標楷體" w:hAnsi="Arial"/>
          <w:color w:val="000000"/>
          <w:sz w:val="28"/>
          <w:szCs w:val="28"/>
        </w:rPr>
        <w:t>年，是一個以</w:t>
      </w:r>
      <w:r w:rsidRPr="00F9738D">
        <w:rPr>
          <w:rFonts w:ascii="Arial" w:eastAsia="標楷體" w:hAnsi="Arial"/>
          <w:color w:val="000000"/>
          <w:sz w:val="28"/>
          <w:szCs w:val="28"/>
        </w:rPr>
        <w:t>"</w:t>
      </w:r>
      <w:r w:rsidRPr="00F9738D">
        <w:rPr>
          <w:rFonts w:ascii="Arial" w:eastAsia="標楷體" w:hAnsi="Arial"/>
          <w:color w:val="000000"/>
          <w:sz w:val="28"/>
          <w:szCs w:val="28"/>
        </w:rPr>
        <w:t>關心產業發展</w:t>
      </w:r>
      <w:r w:rsidRPr="00F9738D">
        <w:rPr>
          <w:rFonts w:ascii="Arial" w:eastAsia="標楷體" w:hAnsi="Arial"/>
          <w:color w:val="000000"/>
          <w:sz w:val="28"/>
          <w:szCs w:val="28"/>
        </w:rPr>
        <w:t>"</w:t>
      </w:r>
      <w:r w:rsidRPr="00F9738D">
        <w:rPr>
          <w:rFonts w:ascii="Arial" w:eastAsia="標楷體" w:hAnsi="Arial"/>
          <w:color w:val="000000"/>
          <w:sz w:val="28"/>
          <w:szCs w:val="28"/>
        </w:rPr>
        <w:t>為出發點的民間團體，透過協會的活動凝聚業界對產業發展的共識，以促成競爭中的合作，提升整體產業競爭力並促進整體產業的健全發展。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TSIA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現有研發、設計、製造、封裝、測試、設備、材料等會員廠商約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200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餘家，所有會員廠商的加總營收，約占台灣整體</w:t>
      </w:r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IC</w:t>
      </w:r>
      <w:proofErr w:type="gramStart"/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產業鏈總產值</w:t>
      </w:r>
      <w:proofErr w:type="gramEnd"/>
      <w:r w:rsidR="002B4905" w:rsidRPr="00F9738D">
        <w:rPr>
          <w:rFonts w:ascii="Arial" w:eastAsia="標楷體" w:hAnsi="Arial" w:hint="eastAsia"/>
          <w:color w:val="000000"/>
          <w:sz w:val="28"/>
          <w:szCs w:val="28"/>
        </w:rPr>
        <w:t>的百分之八十六。</w:t>
      </w:r>
      <w:r w:rsidRPr="00F9738D">
        <w:rPr>
          <w:rFonts w:ascii="Arial" w:eastAsia="標楷體" w:hAnsi="Arial"/>
          <w:color w:val="000000"/>
          <w:sz w:val="28"/>
          <w:szCs w:val="28"/>
        </w:rPr>
        <w:t>更多資訊，請上</w:t>
      </w:r>
      <w:hyperlink r:id="rId6" w:history="1">
        <w:r w:rsidRPr="00F9738D">
          <w:rPr>
            <w:rStyle w:val="a5"/>
            <w:rFonts w:ascii="Arial" w:eastAsia="標楷體" w:hAnsi="Arial"/>
            <w:color w:val="000000"/>
            <w:sz w:val="28"/>
            <w:szCs w:val="28"/>
          </w:rPr>
          <w:t>www.tsia.org.tw</w:t>
        </w:r>
      </w:hyperlink>
      <w:r w:rsidRPr="00F9738D">
        <w:rPr>
          <w:rFonts w:ascii="Arial" w:eastAsia="標楷體" w:hAnsi="Arial"/>
          <w:color w:val="000000"/>
          <w:sz w:val="28"/>
          <w:szCs w:val="28"/>
        </w:rPr>
        <w:t>查詢。</w:t>
      </w:r>
    </w:p>
    <w:p w14:paraId="500AB111" w14:textId="77777777" w:rsidR="008C1708" w:rsidRPr="00F9738D" w:rsidRDefault="008C1708" w:rsidP="008C1708">
      <w:pPr>
        <w:widowControl/>
        <w:adjustRightInd w:val="0"/>
        <w:snapToGrid w:val="0"/>
        <w:ind w:leftChars="-86" w:left="-206" w:rightChars="170" w:right="408" w:firstLine="204"/>
        <w:jc w:val="both"/>
        <w:rPr>
          <w:rFonts w:ascii="Arial" w:eastAsia="標楷體" w:hAnsi="Arial"/>
          <w:b/>
          <w:bCs/>
          <w:color w:val="000000"/>
          <w:sz w:val="28"/>
          <w:szCs w:val="28"/>
        </w:rPr>
      </w:pPr>
    </w:p>
    <w:p w14:paraId="4537C0D7" w14:textId="77777777" w:rsidR="008C1708" w:rsidRPr="00F9738D" w:rsidRDefault="008C1708" w:rsidP="00532469">
      <w:pPr>
        <w:widowControl/>
        <w:adjustRightInd w:val="0"/>
        <w:snapToGrid w:val="0"/>
        <w:ind w:leftChars="-86" w:left="-206" w:rightChars="170" w:right="408" w:firstLine="204"/>
        <w:jc w:val="center"/>
        <w:rPr>
          <w:rFonts w:ascii="Arial" w:eastAsia="標楷體" w:hAnsi="Arial"/>
          <w:b/>
          <w:bCs/>
          <w:color w:val="000000"/>
          <w:sz w:val="28"/>
          <w:szCs w:val="28"/>
        </w:rPr>
      </w:pP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>新聞聯絡人：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石英堂協理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 xml:space="preserve">    email:celia@tsia.org.tw </w:t>
      </w: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 xml:space="preserve"> </w:t>
      </w:r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tel</w:t>
      </w:r>
      <w:proofErr w:type="spellEnd"/>
      <w:r w:rsidRPr="00F9738D">
        <w:rPr>
          <w:rFonts w:ascii="Arial" w:eastAsia="標楷體" w:hAnsi="Arial" w:hint="eastAsia"/>
          <w:b/>
          <w:bCs/>
          <w:color w:val="000000"/>
          <w:sz w:val="28"/>
          <w:szCs w:val="28"/>
        </w:rPr>
        <w:t>: 03</w:t>
      </w:r>
      <w:r w:rsidRPr="00F9738D">
        <w:rPr>
          <w:rFonts w:ascii="Arial" w:eastAsia="標楷體" w:hAnsi="Arial"/>
          <w:b/>
          <w:bCs/>
          <w:color w:val="000000"/>
          <w:sz w:val="28"/>
          <w:szCs w:val="28"/>
        </w:rPr>
        <w:t>-5917092</w:t>
      </w:r>
    </w:p>
    <w:p w14:paraId="06EDCA3B" w14:textId="77777777" w:rsidR="008C1708" w:rsidRPr="00484441" w:rsidRDefault="008C1708" w:rsidP="008C1708">
      <w:pPr>
        <w:adjustRightInd w:val="0"/>
        <w:snapToGrid w:val="0"/>
        <w:rPr>
          <w:rFonts w:ascii="微軟正黑體" w:eastAsia="微軟正黑體" w:hAnsi="微軟正黑體"/>
          <w:color w:val="000000"/>
          <w:sz w:val="22"/>
          <w:szCs w:val="22"/>
        </w:rPr>
      </w:pPr>
    </w:p>
    <w:p w14:paraId="332F4A1B" w14:textId="77777777" w:rsidR="001605BE" w:rsidRPr="008C1708" w:rsidRDefault="001605BE">
      <w:pPr>
        <w:rPr>
          <w:rFonts w:eastAsia="標楷體"/>
        </w:rPr>
      </w:pPr>
    </w:p>
    <w:p w14:paraId="383AB524" w14:textId="77777777" w:rsidR="00A87A34" w:rsidRPr="00A87A34" w:rsidRDefault="00A87A34">
      <w:pPr>
        <w:rPr>
          <w:rFonts w:eastAsia="標楷體"/>
        </w:rPr>
      </w:pPr>
    </w:p>
    <w:p w14:paraId="3F43FCEC" w14:textId="77777777" w:rsidR="00A87A34" w:rsidRPr="00A87A34" w:rsidRDefault="00A87A34">
      <w:pPr>
        <w:rPr>
          <w:rFonts w:eastAsia="標楷體"/>
        </w:rPr>
      </w:pPr>
    </w:p>
    <w:p w14:paraId="2E4AB138" w14:textId="77777777" w:rsidR="00A87A34" w:rsidRPr="00A87A34" w:rsidRDefault="00A87A34" w:rsidP="00A87A34">
      <w:pPr>
        <w:ind w:firstLineChars="250" w:firstLine="600"/>
        <w:jc w:val="both"/>
        <w:rPr>
          <w:rFonts w:eastAsia="標楷體"/>
        </w:rPr>
      </w:pPr>
    </w:p>
    <w:p w14:paraId="027D6FC3" w14:textId="77777777" w:rsidR="00A87A34" w:rsidRPr="00A87A34" w:rsidRDefault="00A87A34" w:rsidP="00A87A34">
      <w:pPr>
        <w:ind w:firstLineChars="200" w:firstLine="480"/>
        <w:rPr>
          <w:rFonts w:eastAsia="標楷體"/>
        </w:rPr>
      </w:pPr>
    </w:p>
    <w:sectPr w:rsidR="00A87A34" w:rsidRPr="00A87A34" w:rsidSect="002B4905">
      <w:headerReference w:type="default" r:id="rId7"/>
      <w:footerReference w:type="default" r:id="rId8"/>
      <w:pgSz w:w="11906" w:h="16838" w:code="9"/>
      <w:pgMar w:top="1985" w:right="991" w:bottom="1440" w:left="993" w:header="539" w:footer="59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5896E" w14:textId="77777777" w:rsidR="001E20F2" w:rsidRDefault="001E20F2">
      <w:r>
        <w:separator/>
      </w:r>
    </w:p>
  </w:endnote>
  <w:endnote w:type="continuationSeparator" w:id="0">
    <w:p w14:paraId="16DD916A" w14:textId="77777777" w:rsidR="001E20F2" w:rsidRDefault="001E2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9DE6" w14:textId="747234AB" w:rsidR="001605BE" w:rsidRPr="00A87A34" w:rsidRDefault="00A87A34" w:rsidP="00D925B2">
    <w:pPr>
      <w:pStyle w:val="a4"/>
      <w:tabs>
        <w:tab w:val="clear" w:pos="4320"/>
        <w:tab w:val="clear" w:pos="8640"/>
      </w:tabs>
      <w:ind w:right="-1"/>
      <w:jc w:val="distribute"/>
      <w:rPr>
        <w:rFonts w:eastAsia="標楷體"/>
        <w:color w:val="99CCFF"/>
      </w:rPr>
    </w:pPr>
    <w:r w:rsidRPr="00A87A34">
      <w:rPr>
        <w:rFonts w:eastAsia="標楷體" w:hAnsi="標楷體" w:hint="eastAsia"/>
        <w:color w:val="99CCFF"/>
        <w:sz w:val="17"/>
        <w:szCs w:val="17"/>
      </w:rPr>
      <w:t>310</w:t>
    </w:r>
    <w:r w:rsidR="001605BE" w:rsidRPr="00A87A34">
      <w:rPr>
        <w:rFonts w:eastAsia="標楷體" w:hAnsi="標楷體"/>
        <w:color w:val="99CCFF"/>
        <w:sz w:val="17"/>
        <w:szCs w:val="17"/>
      </w:rPr>
      <w:t>新竹縣竹東鎮中興路</w:t>
    </w:r>
    <w:r w:rsidR="001605BE" w:rsidRPr="00A87A34">
      <w:rPr>
        <w:rFonts w:eastAsia="標楷體"/>
        <w:color w:val="99CCFF"/>
        <w:sz w:val="17"/>
        <w:szCs w:val="17"/>
      </w:rPr>
      <w:t>4</w:t>
    </w:r>
    <w:r w:rsidR="001605BE" w:rsidRPr="00A87A34">
      <w:rPr>
        <w:rFonts w:eastAsia="標楷體" w:hAnsi="標楷體"/>
        <w:color w:val="99CCFF"/>
        <w:sz w:val="17"/>
        <w:szCs w:val="17"/>
      </w:rPr>
      <w:t>段</w:t>
    </w:r>
    <w:r w:rsidR="001605BE" w:rsidRPr="00A87A34">
      <w:rPr>
        <w:rFonts w:eastAsia="標楷體"/>
        <w:color w:val="99CCFF"/>
        <w:sz w:val="17"/>
        <w:szCs w:val="17"/>
      </w:rPr>
      <w:t>195</w:t>
    </w:r>
    <w:r w:rsidR="001605BE" w:rsidRPr="00A87A34">
      <w:rPr>
        <w:rFonts w:eastAsia="標楷體" w:hAnsi="標楷體"/>
        <w:color w:val="99CCFF"/>
        <w:sz w:val="17"/>
        <w:szCs w:val="17"/>
      </w:rPr>
      <w:t>號</w:t>
    </w:r>
    <w:r w:rsidRPr="00A87A34">
      <w:rPr>
        <w:rFonts w:eastAsia="標楷體" w:hAnsi="標楷體" w:hint="eastAsia"/>
        <w:color w:val="99CCFF"/>
        <w:sz w:val="17"/>
        <w:szCs w:val="17"/>
      </w:rPr>
      <w:t>5</w:t>
    </w:r>
    <w:r w:rsidR="008C1708">
      <w:rPr>
        <w:rFonts w:eastAsia="標楷體" w:hAnsi="標楷體" w:hint="eastAsia"/>
        <w:color w:val="99CCFF"/>
        <w:sz w:val="17"/>
        <w:szCs w:val="17"/>
      </w:rPr>
      <w:t>3</w:t>
    </w:r>
    <w:r w:rsidRPr="00A87A34">
      <w:rPr>
        <w:rFonts w:eastAsia="標楷體" w:hAnsi="標楷體" w:hint="eastAsia"/>
        <w:color w:val="99CCFF"/>
        <w:sz w:val="17"/>
        <w:szCs w:val="17"/>
      </w:rPr>
      <w:t>館</w:t>
    </w:r>
    <w:r w:rsidR="008C1708">
      <w:rPr>
        <w:rFonts w:eastAsia="標楷體" w:hAnsi="標楷體" w:hint="eastAsia"/>
        <w:color w:val="99CCFF"/>
        <w:sz w:val="17"/>
        <w:szCs w:val="17"/>
      </w:rPr>
      <w:t>802</w:t>
    </w:r>
    <w:r w:rsidRPr="00A87A34">
      <w:rPr>
        <w:rFonts w:eastAsia="標楷體" w:hAnsi="標楷體" w:hint="eastAsia"/>
        <w:color w:val="99CCFF"/>
        <w:sz w:val="17"/>
        <w:szCs w:val="17"/>
      </w:rPr>
      <w:t>室</w:t>
    </w:r>
    <w:r w:rsidR="001605BE" w:rsidRPr="00A87A34">
      <w:rPr>
        <w:rFonts w:eastAsia="標楷體"/>
        <w:color w:val="99CCFF"/>
        <w:sz w:val="17"/>
        <w:szCs w:val="17"/>
      </w:rPr>
      <w:t xml:space="preserve">  </w:t>
    </w:r>
    <w:r w:rsidRPr="00A87A34">
      <w:rPr>
        <w:color w:val="99CCFF"/>
        <w:sz w:val="17"/>
        <w:szCs w:val="17"/>
      </w:rPr>
      <w:t>Rm</w:t>
    </w:r>
    <w:r w:rsidRPr="00B6543E">
      <w:rPr>
        <w:color w:val="99CCFF"/>
        <w:sz w:val="17"/>
        <w:szCs w:val="17"/>
      </w:rPr>
      <w:t>.</w:t>
    </w:r>
    <w:r w:rsidR="00D6703F">
      <w:rPr>
        <w:color w:val="99CCFF"/>
        <w:sz w:val="17"/>
        <w:szCs w:val="17"/>
      </w:rPr>
      <w:t>802</w:t>
    </w:r>
    <w:r w:rsidR="00D925B2">
      <w:rPr>
        <w:rFonts w:hint="eastAsia"/>
        <w:color w:val="99CCFF"/>
        <w:sz w:val="17"/>
        <w:szCs w:val="17"/>
      </w:rPr>
      <w:t>,</w:t>
    </w:r>
    <w:r w:rsidR="00D925B2">
      <w:rPr>
        <w:color w:val="99CCFF"/>
        <w:sz w:val="17"/>
        <w:szCs w:val="17"/>
      </w:rPr>
      <w:t xml:space="preserve"> </w:t>
    </w:r>
    <w:r w:rsidRPr="00B6543E">
      <w:rPr>
        <w:color w:val="99CCFF"/>
        <w:sz w:val="17"/>
        <w:szCs w:val="17"/>
      </w:rPr>
      <w:t>Bld</w:t>
    </w:r>
    <w:r w:rsidRPr="00A87A34">
      <w:rPr>
        <w:color w:val="99CCFF"/>
        <w:sz w:val="17"/>
        <w:szCs w:val="17"/>
      </w:rPr>
      <w:t>g.</w:t>
    </w:r>
    <w:r w:rsidR="00D6703F">
      <w:rPr>
        <w:color w:val="99CCFF"/>
        <w:sz w:val="17"/>
        <w:szCs w:val="17"/>
      </w:rPr>
      <w:t>53</w:t>
    </w:r>
    <w:r w:rsidRPr="00A87A34">
      <w:rPr>
        <w:rFonts w:ascii="Arial" w:hAnsi="Arial" w:cs="Arial"/>
        <w:sz w:val="17"/>
        <w:szCs w:val="17"/>
      </w:rPr>
      <w:t>,</w:t>
    </w:r>
    <w:r w:rsidR="001605BE" w:rsidRPr="00A87A34">
      <w:rPr>
        <w:rFonts w:eastAsia="標楷體"/>
        <w:color w:val="99CCFF"/>
        <w:sz w:val="17"/>
        <w:szCs w:val="17"/>
      </w:rPr>
      <w:t xml:space="preserve">195 Sec. 4, </w:t>
    </w:r>
    <w:smartTag w:uri="urn:schemas-microsoft-com:office:smarttags" w:element="address">
      <w:smartTag w:uri="urn:schemas-microsoft-com:office:smarttags" w:element="Street">
        <w:r w:rsidR="001605BE" w:rsidRPr="00A87A34">
          <w:rPr>
            <w:rFonts w:eastAsia="標楷體"/>
            <w:color w:val="99CCFF"/>
            <w:sz w:val="17"/>
            <w:szCs w:val="17"/>
          </w:rPr>
          <w:t xml:space="preserve">Chung </w:t>
        </w:r>
        <w:proofErr w:type="spellStart"/>
        <w:r w:rsidR="001605BE" w:rsidRPr="00A87A34">
          <w:rPr>
            <w:rFonts w:eastAsia="標楷體"/>
            <w:color w:val="99CCFF"/>
            <w:sz w:val="17"/>
            <w:szCs w:val="17"/>
          </w:rPr>
          <w:t>Hsing</w:t>
        </w:r>
        <w:proofErr w:type="spellEnd"/>
        <w:r w:rsidR="001605BE" w:rsidRPr="00A87A34">
          <w:rPr>
            <w:rFonts w:eastAsia="標楷體"/>
            <w:color w:val="99CCFF"/>
            <w:sz w:val="17"/>
            <w:szCs w:val="17"/>
          </w:rPr>
          <w:t xml:space="preserve"> Rd.</w:t>
        </w:r>
      </w:smartTag>
    </w:smartTag>
    <w:r w:rsidR="001605BE" w:rsidRPr="00A87A34">
      <w:rPr>
        <w:rFonts w:eastAsia="標楷體"/>
        <w:color w:val="99CCFF"/>
        <w:sz w:val="17"/>
        <w:szCs w:val="17"/>
      </w:rPr>
      <w:t xml:space="preserve">, </w:t>
    </w:r>
    <w:proofErr w:type="spellStart"/>
    <w:r w:rsidR="001605BE" w:rsidRPr="00A87A34">
      <w:rPr>
        <w:rFonts w:eastAsia="標楷體"/>
        <w:color w:val="99CCFF"/>
        <w:sz w:val="17"/>
        <w:szCs w:val="17"/>
      </w:rPr>
      <w:t>Chutung</w:t>
    </w:r>
    <w:proofErr w:type="spellEnd"/>
    <w:r w:rsidR="001605BE" w:rsidRPr="00A87A34">
      <w:rPr>
        <w:rFonts w:eastAsia="標楷體"/>
        <w:color w:val="99CCFF"/>
        <w:sz w:val="17"/>
        <w:szCs w:val="17"/>
      </w:rPr>
      <w:t>, Hsinchu, Taiwan 310, R.O.C</w:t>
    </w:r>
    <w:r w:rsidR="001605BE" w:rsidRPr="00A87A34">
      <w:rPr>
        <w:rFonts w:eastAsia="標楷體"/>
        <w:color w:val="99CCFF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A254B" w14:textId="77777777" w:rsidR="001E20F2" w:rsidRDefault="001E20F2">
      <w:r>
        <w:separator/>
      </w:r>
    </w:p>
  </w:footnote>
  <w:footnote w:type="continuationSeparator" w:id="0">
    <w:p w14:paraId="33F3CB0A" w14:textId="77777777" w:rsidR="001E20F2" w:rsidRDefault="001E2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520"/>
      <w:gridCol w:w="5400"/>
      <w:gridCol w:w="2340"/>
    </w:tblGrid>
    <w:tr w:rsidR="001605BE" w14:paraId="4D1A1C40" w14:textId="77777777">
      <w:trPr>
        <w:trHeight w:val="545"/>
      </w:trPr>
      <w:tc>
        <w:tcPr>
          <w:tcW w:w="2520" w:type="dxa"/>
        </w:tcPr>
        <w:p w14:paraId="1AF84C0C" w14:textId="60E0856C" w:rsidR="001605BE" w:rsidRDefault="00BA221D">
          <w:pPr>
            <w:pStyle w:val="a3"/>
            <w:jc w:val="center"/>
            <w:rPr>
              <w:rFonts w:ascii="標楷體"/>
              <w:spacing w:val="60"/>
              <w:sz w:val="36"/>
            </w:rPr>
          </w:pPr>
          <w:r>
            <w:rPr>
              <w:noProof/>
            </w:rPr>
            <w:drawing>
              <wp:inline distT="0" distB="0" distL="0" distR="0" wp14:anchorId="218B45BD" wp14:editId="287D1021">
                <wp:extent cx="1608455" cy="688340"/>
                <wp:effectExtent l="0" t="0" r="0" b="0"/>
                <wp:docPr id="2" name="圖片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8455" cy="688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vAlign w:val="center"/>
        </w:tcPr>
        <w:p w14:paraId="428A1D55" w14:textId="77777777" w:rsidR="001605BE" w:rsidRPr="00A87A34" w:rsidRDefault="001605BE">
          <w:pPr>
            <w:pStyle w:val="a3"/>
            <w:tabs>
              <w:tab w:val="clear" w:pos="4320"/>
            </w:tabs>
            <w:ind w:left="153" w:right="510"/>
            <w:jc w:val="distribute"/>
            <w:rPr>
              <w:rFonts w:eastAsia="標楷體"/>
              <w:color w:val="99CCFF"/>
              <w:spacing w:val="60"/>
              <w:sz w:val="24"/>
            </w:rPr>
          </w:pPr>
          <w:r w:rsidRPr="00A87A34">
            <w:rPr>
              <w:rFonts w:eastAsia="標楷體" w:hint="eastAsia"/>
              <w:color w:val="99CCFF"/>
              <w:sz w:val="24"/>
            </w:rPr>
            <w:t>台灣半導體產業協會</w:t>
          </w:r>
        </w:p>
        <w:p w14:paraId="47942FD4" w14:textId="77777777" w:rsidR="001605BE" w:rsidRPr="00A87A34" w:rsidRDefault="001605BE">
          <w:pPr>
            <w:pStyle w:val="a3"/>
            <w:tabs>
              <w:tab w:val="clear" w:pos="4320"/>
            </w:tabs>
            <w:ind w:left="227" w:right="512"/>
            <w:jc w:val="distribute"/>
            <w:rPr>
              <w:rFonts w:eastAsia="標楷體"/>
              <w:color w:val="99CCFF"/>
              <w:spacing w:val="60"/>
              <w:sz w:val="36"/>
            </w:rPr>
          </w:pPr>
          <w:smartTag w:uri="urn:schemas-microsoft-com:office:smarttags" w:element="place">
            <w:smartTag w:uri="urn:schemas-microsoft-com:office:smarttags" w:element="country-region">
              <w:r w:rsidRPr="00A87A34">
                <w:rPr>
                  <w:rFonts w:eastAsia="標楷體"/>
                  <w:b/>
                  <w:color w:val="99CCFF"/>
                  <w:spacing w:val="-2"/>
                  <w:sz w:val="24"/>
                </w:rPr>
                <w:t>T</w:t>
              </w:r>
              <w:r w:rsidRPr="00A87A34">
                <w:rPr>
                  <w:rFonts w:eastAsia="標楷體"/>
                  <w:color w:val="99CCFF"/>
                  <w:spacing w:val="-2"/>
                  <w:sz w:val="24"/>
                </w:rPr>
                <w:t>aiwan</w:t>
              </w:r>
            </w:smartTag>
          </w:smartTag>
          <w:r w:rsidRPr="00A87A34">
            <w:rPr>
              <w:rFonts w:eastAsia="標楷體"/>
              <w:color w:val="99CCFF"/>
              <w:spacing w:val="-2"/>
              <w:sz w:val="24"/>
            </w:rPr>
            <w:t xml:space="preserve">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S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emiconductor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I</w:t>
          </w:r>
          <w:r w:rsidRPr="00A87A34">
            <w:rPr>
              <w:rFonts w:eastAsia="標楷體"/>
              <w:color w:val="99CCFF"/>
              <w:spacing w:val="-2"/>
              <w:sz w:val="24"/>
            </w:rPr>
            <w:t xml:space="preserve">ndustry </w:t>
          </w:r>
          <w:r w:rsidRPr="00A87A34">
            <w:rPr>
              <w:rFonts w:eastAsia="標楷體"/>
              <w:b/>
              <w:color w:val="99CCFF"/>
              <w:spacing w:val="-2"/>
              <w:sz w:val="24"/>
            </w:rPr>
            <w:t>A</w:t>
          </w:r>
          <w:r w:rsidRPr="00A87A34">
            <w:rPr>
              <w:rFonts w:eastAsia="標楷體"/>
              <w:color w:val="99CCFF"/>
              <w:spacing w:val="-2"/>
              <w:sz w:val="24"/>
            </w:rPr>
            <w:t>ssociation</w:t>
          </w:r>
        </w:p>
      </w:tc>
      <w:tc>
        <w:tcPr>
          <w:tcW w:w="2340" w:type="dxa"/>
          <w:vAlign w:val="bottom"/>
        </w:tcPr>
        <w:p w14:paraId="1AFBABB7" w14:textId="77777777" w:rsidR="001605BE" w:rsidRDefault="001605BE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  <w:r w:rsidRPr="00A87A34">
            <w:rPr>
              <w:rFonts w:ascii="Arial" w:eastAsia="標楷體" w:hAnsi="Arial"/>
              <w:color w:val="99CCFF"/>
              <w:spacing w:val="60"/>
              <w:sz w:val="18"/>
            </w:rPr>
            <w:t>www.tsia.org.tw</w:t>
          </w:r>
        </w:p>
        <w:p w14:paraId="43F73AD6" w14:textId="77777777" w:rsid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  <w:p w14:paraId="7E98F5C9" w14:textId="77777777" w:rsidR="00A87A34" w:rsidRPr="00A87A34" w:rsidRDefault="00A87A34">
          <w:pPr>
            <w:pStyle w:val="a3"/>
            <w:tabs>
              <w:tab w:val="clear" w:pos="4320"/>
            </w:tabs>
            <w:rPr>
              <w:rFonts w:ascii="Arial" w:eastAsia="標楷體" w:hAnsi="Arial"/>
              <w:color w:val="99CCFF"/>
              <w:spacing w:val="60"/>
              <w:sz w:val="18"/>
            </w:rPr>
          </w:pPr>
        </w:p>
      </w:tc>
    </w:tr>
  </w:tbl>
  <w:p w14:paraId="7DBAA361" w14:textId="77777777" w:rsidR="001605BE" w:rsidRDefault="001605BE">
    <w:pPr>
      <w:pStyle w:val="a3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9FD"/>
    <w:rsid w:val="00042206"/>
    <w:rsid w:val="0012099A"/>
    <w:rsid w:val="001605BE"/>
    <w:rsid w:val="001E20F2"/>
    <w:rsid w:val="001F6A94"/>
    <w:rsid w:val="00246A0D"/>
    <w:rsid w:val="00287911"/>
    <w:rsid w:val="002A52CC"/>
    <w:rsid w:val="002B4905"/>
    <w:rsid w:val="002B7FC4"/>
    <w:rsid w:val="00372E3D"/>
    <w:rsid w:val="003A295E"/>
    <w:rsid w:val="003A353E"/>
    <w:rsid w:val="00433EEC"/>
    <w:rsid w:val="00435E3E"/>
    <w:rsid w:val="004722A2"/>
    <w:rsid w:val="004B69FC"/>
    <w:rsid w:val="00532469"/>
    <w:rsid w:val="0055163A"/>
    <w:rsid w:val="00585420"/>
    <w:rsid w:val="00600E03"/>
    <w:rsid w:val="00637799"/>
    <w:rsid w:val="00640904"/>
    <w:rsid w:val="0067576A"/>
    <w:rsid w:val="007A33F8"/>
    <w:rsid w:val="007A6A54"/>
    <w:rsid w:val="007B690F"/>
    <w:rsid w:val="00803E35"/>
    <w:rsid w:val="00806A66"/>
    <w:rsid w:val="008278B2"/>
    <w:rsid w:val="008C1708"/>
    <w:rsid w:val="00925B52"/>
    <w:rsid w:val="009628F1"/>
    <w:rsid w:val="00A779FD"/>
    <w:rsid w:val="00A87A34"/>
    <w:rsid w:val="00B32E9C"/>
    <w:rsid w:val="00B37F75"/>
    <w:rsid w:val="00B431DD"/>
    <w:rsid w:val="00B6543E"/>
    <w:rsid w:val="00BA221D"/>
    <w:rsid w:val="00BC7660"/>
    <w:rsid w:val="00C173C9"/>
    <w:rsid w:val="00C30ED1"/>
    <w:rsid w:val="00C36F5C"/>
    <w:rsid w:val="00CB65FB"/>
    <w:rsid w:val="00D11648"/>
    <w:rsid w:val="00D24D66"/>
    <w:rsid w:val="00D343B6"/>
    <w:rsid w:val="00D66EB2"/>
    <w:rsid w:val="00D6703F"/>
    <w:rsid w:val="00D925B2"/>
    <w:rsid w:val="00DB3E08"/>
    <w:rsid w:val="00DD1148"/>
    <w:rsid w:val="00DE2E49"/>
    <w:rsid w:val="00DF6FC5"/>
    <w:rsid w:val="00E0426B"/>
    <w:rsid w:val="00E82E18"/>
    <w:rsid w:val="00F17D48"/>
    <w:rsid w:val="00F9738D"/>
    <w:rsid w:val="00FF0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4:docId w14:val="33CB4404"/>
  <w15:chartTrackingRefBased/>
  <w15:docId w15:val="{ABC3C636-75E5-4AFC-891D-086EC7128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87A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320"/>
        <w:tab w:val="right" w:pos="8640"/>
      </w:tabs>
      <w:snapToGrid w:val="0"/>
    </w:pPr>
    <w:rPr>
      <w:sz w:val="20"/>
      <w:szCs w:val="20"/>
    </w:rPr>
  </w:style>
  <w:style w:type="character" w:styleId="a5">
    <w:name w:val="Hyperlink"/>
    <w:basedOn w:val="a0"/>
    <w:rsid w:val="00A87A34"/>
    <w:rPr>
      <w:color w:val="0000FF"/>
      <w:u w:val="single"/>
    </w:rPr>
  </w:style>
  <w:style w:type="paragraph" w:styleId="Web">
    <w:name w:val="Normal (Web)"/>
    <w:basedOn w:val="a"/>
    <w:rsid w:val="008C1708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sia.org.tw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857</Characters>
  <Application>Microsoft Office Word</Application>
  <DocSecurity>0</DocSecurity>
  <Lines>7</Lines>
  <Paragraphs>2</Paragraphs>
  <ScaleCrop>false</ScaleCrop>
  <Company>TSIA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台灣半導體產業協會(TSIA)在國內及國際上均代表台灣半導體產業，此產業主要包括晶圓製造、IC封裝測試及IC設計等次產業，其中晶圓製造主要分為晶圓代工及DRAM製造</dc:title>
  <dc:subject/>
  <dc:creator>Celia Shih_TSIA</dc:creator>
  <cp:keywords/>
  <cp:lastModifiedBy>Celia Shih-TSIA</cp:lastModifiedBy>
  <cp:revision>2</cp:revision>
  <cp:lastPrinted>2025-10-02T06:26:00Z</cp:lastPrinted>
  <dcterms:created xsi:type="dcterms:W3CDTF">2025-10-13T09:23:00Z</dcterms:created>
  <dcterms:modified xsi:type="dcterms:W3CDTF">2025-10-13T09:23:00Z</dcterms:modified>
</cp:coreProperties>
</file>